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39C" w:rsidRDefault="00BE473C" w:rsidP="00BE473C">
      <w:pPr>
        <w:jc w:val="center"/>
        <w:rPr>
          <w:rFonts w:ascii="Times New Roman"/>
          <w:sz w:val="12"/>
        </w:rPr>
      </w:pPr>
      <w:r>
        <w:rPr>
          <w:rFonts w:ascii="Times New Roman"/>
          <w:noProof/>
          <w:sz w:val="12"/>
        </w:rPr>
        <w:drawing>
          <wp:inline distT="0" distB="0" distL="0" distR="0">
            <wp:extent cx="2529205" cy="5422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PIRS_Logo.jpg"/>
                    <pic:cNvPicPr/>
                  </pic:nvPicPr>
                  <pic:blipFill>
                    <a:blip r:embed="rId6">
                      <a:extLst>
                        <a:ext uri="{28A0092B-C50C-407E-A947-70E740481C1C}">
                          <a14:useLocalDpi xmlns:a14="http://schemas.microsoft.com/office/drawing/2010/main" val="0"/>
                        </a:ext>
                      </a:extLst>
                    </a:blip>
                    <a:stretch>
                      <a:fillRect/>
                    </a:stretch>
                  </pic:blipFill>
                  <pic:spPr>
                    <a:xfrm>
                      <a:off x="0" y="0"/>
                      <a:ext cx="2608291" cy="559205"/>
                    </a:xfrm>
                    <a:prstGeom prst="rect">
                      <a:avLst/>
                    </a:prstGeom>
                  </pic:spPr>
                </pic:pic>
              </a:graphicData>
            </a:graphic>
          </wp:inline>
        </w:drawing>
      </w:r>
    </w:p>
    <w:p w:rsidR="00BE473C" w:rsidRPr="00BE473C" w:rsidRDefault="00BE473C" w:rsidP="00BE473C">
      <w:pPr>
        <w:jc w:val="center"/>
        <w:rPr>
          <w:rFonts w:ascii="Times New Roman"/>
          <w:b/>
          <w:sz w:val="12"/>
        </w:rPr>
      </w:pPr>
    </w:p>
    <w:p w:rsidR="00BE473C" w:rsidRPr="00BE473C" w:rsidRDefault="00BE473C" w:rsidP="00BE473C">
      <w:pPr>
        <w:jc w:val="center"/>
        <w:rPr>
          <w:rFonts w:ascii="Times New Roman"/>
          <w:b/>
          <w:sz w:val="12"/>
        </w:rPr>
      </w:pPr>
      <w:r w:rsidRPr="00BE473C">
        <w:rPr>
          <w:rFonts w:ascii="Times New Roman"/>
          <w:b/>
          <w:sz w:val="12"/>
        </w:rPr>
        <w:t>5616 Progress Road Indianapolis, IN 46241 1(888)888-3615</w:t>
      </w:r>
    </w:p>
    <w:p w:rsidR="00BE473C" w:rsidRDefault="00BE473C" w:rsidP="00BE473C">
      <w:pPr>
        <w:jc w:val="center"/>
        <w:rPr>
          <w:rFonts w:ascii="Times New Roman"/>
          <w:sz w:val="12"/>
        </w:rPr>
      </w:pPr>
    </w:p>
    <w:p w:rsidR="00BE473C" w:rsidRPr="00BE473C" w:rsidRDefault="00BE473C" w:rsidP="00BE473C">
      <w:pPr>
        <w:jc w:val="center"/>
        <w:rPr>
          <w:rStyle w:val="Hyperlink"/>
          <w:rFonts w:ascii="Times New Roman"/>
          <w:color w:val="C00000"/>
          <w:sz w:val="16"/>
          <w:szCs w:val="16"/>
        </w:rPr>
        <w:sectPr w:rsidR="00BE473C" w:rsidRPr="00BE473C">
          <w:footerReference w:type="default" r:id="rId7"/>
          <w:type w:val="continuous"/>
          <w:pgSz w:w="12240" w:h="15840"/>
          <w:pgMar w:top="720" w:right="500" w:bottom="940" w:left="500" w:header="720" w:footer="746" w:gutter="0"/>
          <w:cols w:space="720"/>
        </w:sectPr>
      </w:pPr>
      <w:r w:rsidRPr="00BE473C">
        <w:rPr>
          <w:rFonts w:ascii="Times New Roman"/>
          <w:color w:val="C00000"/>
          <w:sz w:val="16"/>
          <w:szCs w:val="16"/>
        </w:rPr>
        <w:fldChar w:fldCharType="begin"/>
      </w:r>
      <w:r>
        <w:rPr>
          <w:rFonts w:ascii="Times New Roman"/>
          <w:color w:val="C00000"/>
          <w:sz w:val="16"/>
          <w:szCs w:val="16"/>
        </w:rPr>
        <w:instrText>HYPERLINK "C:\\Users\\heatherm.CPICORRELATED\\AppData\\Local\\Microsoft\\Windows\\INetCache\\IE\\JFZXBOQZ\\www.CPIRoadSolutions.com</w:instrText>
      </w:r>
      <w:r>
        <w:rPr>
          <w:rFonts w:ascii="Times New Roman"/>
          <w:color w:val="C00000"/>
          <w:sz w:val="16"/>
          <w:szCs w:val="16"/>
        </w:rPr>
        <w:br w:type="page"/>
        <w:instrText>"</w:instrText>
      </w:r>
      <w:r w:rsidRPr="00BE473C">
        <w:rPr>
          <w:rFonts w:ascii="Times New Roman"/>
          <w:color w:val="C00000"/>
          <w:sz w:val="16"/>
          <w:szCs w:val="16"/>
        </w:rPr>
      </w:r>
      <w:r w:rsidRPr="00BE473C">
        <w:rPr>
          <w:rFonts w:ascii="Times New Roman"/>
          <w:color w:val="C00000"/>
          <w:sz w:val="16"/>
          <w:szCs w:val="16"/>
        </w:rPr>
        <w:fldChar w:fldCharType="separate"/>
      </w:r>
      <w:r w:rsidRPr="00BE473C">
        <w:rPr>
          <w:rStyle w:val="Hyperlink"/>
          <w:rFonts w:ascii="Times New Roman"/>
          <w:color w:val="C00000"/>
          <w:sz w:val="16"/>
          <w:szCs w:val="16"/>
        </w:rPr>
        <w:t>www.CPIRoadSolutions.com</w:t>
      </w:r>
    </w:p>
    <w:p w:rsidR="0089339C" w:rsidRDefault="00BE473C">
      <w:pPr>
        <w:spacing w:before="357"/>
        <w:ind w:left="229" w:right="3690"/>
        <w:jc w:val="center"/>
        <w:rPr>
          <w:b/>
          <w:sz w:val="44"/>
        </w:rPr>
      </w:pPr>
      <w:r w:rsidRPr="00BE473C">
        <w:rPr>
          <w:rFonts w:ascii="Times New Roman"/>
          <w:color w:val="C00000"/>
          <w:sz w:val="16"/>
          <w:szCs w:val="16"/>
        </w:rPr>
        <w:fldChar w:fldCharType="end"/>
      </w:r>
      <w:r>
        <w:br w:type="column"/>
      </w:r>
      <w:r>
        <w:rPr>
          <w:b/>
          <w:color w:val="0D0D0D"/>
          <w:sz w:val="44"/>
        </w:rPr>
        <w:t>Safety Data Sheet</w:t>
      </w:r>
    </w:p>
    <w:p w:rsidR="0089339C" w:rsidRDefault="00BE473C">
      <w:pPr>
        <w:pStyle w:val="Heading1"/>
        <w:spacing w:before="197"/>
        <w:ind w:left="128" w:right="3690"/>
        <w:rPr>
          <w:u w:val="none"/>
        </w:rPr>
      </w:pPr>
      <w:r>
        <w:rPr>
          <w:color w:val="0D0D0D"/>
          <w:u w:val="thick" w:color="0D0D0D"/>
        </w:rPr>
        <w:t>SECTION 1 – Identification</w:t>
      </w:r>
    </w:p>
    <w:p w:rsidR="0089339C" w:rsidRDefault="0089339C">
      <w:pPr>
        <w:sectPr w:rsidR="0089339C">
          <w:type w:val="continuous"/>
          <w:pgSz w:w="12240" w:h="15840"/>
          <w:pgMar w:top="720" w:right="500" w:bottom="940" w:left="500" w:header="720" w:footer="720" w:gutter="0"/>
          <w:cols w:num="2" w:space="720" w:equalWidth="0">
            <w:col w:w="2620" w:space="943"/>
            <w:col w:w="7677"/>
          </w:cols>
        </w:sectPr>
      </w:pPr>
    </w:p>
    <w:p w:rsidR="0089339C" w:rsidRDefault="0089339C">
      <w:pPr>
        <w:pStyle w:val="BodyText"/>
        <w:rPr>
          <w:b/>
        </w:rPr>
      </w:pPr>
    </w:p>
    <w:p w:rsidR="0089339C" w:rsidRDefault="0089339C">
      <w:pPr>
        <w:pStyle w:val="BodyText"/>
        <w:spacing w:before="5"/>
        <w:rPr>
          <w:b/>
          <w:sz w:val="23"/>
        </w:rPr>
      </w:pPr>
    </w:p>
    <w:p w:rsidR="0089339C" w:rsidRDefault="00BE473C">
      <w:pPr>
        <w:spacing w:before="96"/>
        <w:ind w:left="220"/>
        <w:rPr>
          <w:sz w:val="20"/>
        </w:rPr>
      </w:pPr>
      <w:r>
        <w:rPr>
          <w:b/>
          <w:color w:val="0D0D0D"/>
          <w:sz w:val="20"/>
        </w:rPr>
        <w:t xml:space="preserve">Product:  </w:t>
      </w:r>
      <w:r>
        <w:rPr>
          <w:color w:val="0D0D0D"/>
          <w:sz w:val="20"/>
        </w:rPr>
        <w:t>GEOMELT</w:t>
      </w:r>
      <w:r>
        <w:rPr>
          <w:color w:val="0D0D0D"/>
          <w:position w:val="10"/>
          <w:sz w:val="13"/>
        </w:rPr>
        <w:t xml:space="preserve">® </w:t>
      </w:r>
      <w:r>
        <w:rPr>
          <w:color w:val="0D0D0D"/>
          <w:sz w:val="20"/>
        </w:rPr>
        <w:t>S7 anti-icing/deicing fluid</w:t>
      </w:r>
    </w:p>
    <w:p w:rsidR="0089339C" w:rsidRDefault="00BE473C">
      <w:pPr>
        <w:spacing w:before="199" w:line="448" w:lineRule="auto"/>
        <w:ind w:left="220" w:right="7817"/>
        <w:rPr>
          <w:sz w:val="20"/>
        </w:rPr>
      </w:pPr>
      <w:r>
        <w:rPr>
          <w:b/>
          <w:color w:val="0D0D0D"/>
          <w:sz w:val="20"/>
        </w:rPr>
        <w:t xml:space="preserve">Chemical Name: </w:t>
      </w:r>
      <w:r>
        <w:rPr>
          <w:color w:val="0D0D0D"/>
          <w:sz w:val="20"/>
        </w:rPr>
        <w:t xml:space="preserve">Trade Secret </w:t>
      </w:r>
      <w:r>
        <w:rPr>
          <w:b/>
          <w:color w:val="0D0D0D"/>
          <w:sz w:val="20"/>
        </w:rPr>
        <w:t xml:space="preserve">Formula: </w:t>
      </w:r>
      <w:r>
        <w:rPr>
          <w:color w:val="0D0D0D"/>
          <w:sz w:val="20"/>
        </w:rPr>
        <w:t xml:space="preserve">Proprietary </w:t>
      </w:r>
      <w:r>
        <w:rPr>
          <w:b/>
          <w:color w:val="0D0D0D"/>
          <w:sz w:val="20"/>
        </w:rPr>
        <w:t xml:space="preserve">Manufacturer:  </w:t>
      </w:r>
      <w:r>
        <w:rPr>
          <w:color w:val="0D0D0D"/>
          <w:sz w:val="20"/>
        </w:rPr>
        <w:t>SNI Solutions</w:t>
      </w:r>
    </w:p>
    <w:p w:rsidR="0089339C" w:rsidRDefault="00BE473C">
      <w:pPr>
        <w:pStyle w:val="Heading2"/>
        <w:spacing w:before="5"/>
      </w:pPr>
      <w:r>
        <w:rPr>
          <w:color w:val="0D0D0D"/>
        </w:rPr>
        <w:t>24-Hour Emergency Assistance: 888-840-5564</w:t>
      </w:r>
    </w:p>
    <w:p w:rsidR="0089339C" w:rsidRDefault="0089339C">
      <w:pPr>
        <w:pStyle w:val="BodyText"/>
        <w:rPr>
          <w:b/>
          <w:sz w:val="22"/>
        </w:rPr>
      </w:pPr>
    </w:p>
    <w:p w:rsidR="0089339C" w:rsidRDefault="0089339C">
      <w:pPr>
        <w:pStyle w:val="BodyText"/>
        <w:spacing w:before="11"/>
        <w:rPr>
          <w:b/>
          <w:sz w:val="32"/>
        </w:rPr>
      </w:pPr>
    </w:p>
    <w:p w:rsidR="0089339C" w:rsidRDefault="00BE473C">
      <w:pPr>
        <w:ind w:left="2479" w:right="2478"/>
        <w:jc w:val="center"/>
        <w:rPr>
          <w:b/>
          <w:sz w:val="24"/>
        </w:rPr>
      </w:pPr>
      <w:r>
        <w:rPr>
          <w:b/>
          <w:color w:val="0D0D0D"/>
          <w:sz w:val="24"/>
          <w:u w:val="thick" w:color="0D0D0D"/>
        </w:rPr>
        <w:t>SECTION 2 –Hazard(s) identification</w:t>
      </w:r>
    </w:p>
    <w:p w:rsidR="0089339C" w:rsidRDefault="00BE473C">
      <w:pPr>
        <w:spacing w:before="163"/>
        <w:ind w:left="220"/>
        <w:rPr>
          <w:sz w:val="20"/>
        </w:rPr>
      </w:pPr>
      <w:r>
        <w:rPr>
          <w:b/>
          <w:color w:val="0D0D0D"/>
          <w:sz w:val="20"/>
        </w:rPr>
        <w:t xml:space="preserve">NFPA Identification - </w:t>
      </w:r>
      <w:r>
        <w:rPr>
          <w:color w:val="0D0D0D"/>
          <w:sz w:val="20"/>
        </w:rPr>
        <w:t>GEOMELT</w:t>
      </w:r>
      <w:r>
        <w:rPr>
          <w:color w:val="0D0D0D"/>
          <w:position w:val="10"/>
          <w:sz w:val="13"/>
        </w:rPr>
        <w:t xml:space="preserve">® </w:t>
      </w:r>
      <w:r>
        <w:rPr>
          <w:color w:val="0D0D0D"/>
          <w:sz w:val="20"/>
        </w:rPr>
        <w:t>S7 Health – 0, Fire – 0, Instability - 0.</w:t>
      </w:r>
    </w:p>
    <w:p w:rsidR="0089339C" w:rsidRDefault="00BE473C">
      <w:pPr>
        <w:pStyle w:val="BodyText"/>
        <w:spacing w:before="196" w:line="244" w:lineRule="auto"/>
        <w:ind w:left="220" w:right="291"/>
      </w:pPr>
      <w:r>
        <w:rPr>
          <w:b/>
          <w:color w:val="0D0D0D"/>
        </w:rPr>
        <w:t xml:space="preserve">NFPA – Hazard Identification: </w:t>
      </w:r>
      <w:r>
        <w:rPr>
          <w:color w:val="0D0D0D"/>
        </w:rPr>
        <w:t>This system identifies the hazards in three categories: Health, Flammability and Reactivity and indicates the order of severity ranging from 4 indicating a severe hazard to 0 indicating no special hazard.</w:t>
      </w:r>
    </w:p>
    <w:p w:rsidR="0089339C" w:rsidRDefault="00BE473C">
      <w:pPr>
        <w:spacing w:before="189" w:line="244" w:lineRule="auto"/>
        <w:ind w:left="220"/>
        <w:rPr>
          <w:sz w:val="20"/>
        </w:rPr>
      </w:pPr>
      <w:r>
        <w:rPr>
          <w:b/>
          <w:color w:val="0D0D0D"/>
          <w:sz w:val="20"/>
        </w:rPr>
        <w:t>SARS-EPA SARA Title I</w:t>
      </w:r>
      <w:r>
        <w:rPr>
          <w:b/>
          <w:color w:val="0D0D0D"/>
          <w:sz w:val="20"/>
        </w:rPr>
        <w:t xml:space="preserve">II Hazard Categories: </w:t>
      </w:r>
      <w:r>
        <w:rPr>
          <w:color w:val="0D0D0D"/>
          <w:sz w:val="20"/>
        </w:rPr>
        <w:t>1-Fire Hazard, 2-Sudden Release of Pressure, 3-Reactive, 4-Immediate (Acute) Health Hazard, 5-Delayed (Chronic) Health Hazard.</w:t>
      </w:r>
    </w:p>
    <w:p w:rsidR="0089339C" w:rsidRDefault="0089339C">
      <w:pPr>
        <w:pStyle w:val="BodyText"/>
        <w:rPr>
          <w:sz w:val="22"/>
        </w:rPr>
      </w:pPr>
    </w:p>
    <w:p w:rsidR="0089339C" w:rsidRDefault="0089339C">
      <w:pPr>
        <w:pStyle w:val="BodyText"/>
        <w:spacing w:before="1"/>
        <w:rPr>
          <w:sz w:val="32"/>
        </w:rPr>
      </w:pPr>
    </w:p>
    <w:p w:rsidR="0089339C" w:rsidRDefault="00BE473C">
      <w:pPr>
        <w:pStyle w:val="Heading1"/>
        <w:ind w:left="2479" w:right="2480"/>
        <w:rPr>
          <w:u w:val="none"/>
        </w:rPr>
      </w:pPr>
      <w:r>
        <w:rPr>
          <w:color w:val="0D0D0D"/>
          <w:u w:val="thick" w:color="0D0D0D"/>
        </w:rPr>
        <w:t>SECTION 3 – Composition / information on ingredients</w:t>
      </w:r>
    </w:p>
    <w:p w:rsidR="0089339C" w:rsidRDefault="0089339C">
      <w:pPr>
        <w:pStyle w:val="BodyText"/>
        <w:rPr>
          <w:b/>
        </w:rPr>
      </w:pPr>
    </w:p>
    <w:p w:rsidR="0089339C" w:rsidRDefault="0089339C">
      <w:pPr>
        <w:pStyle w:val="BodyText"/>
        <w:rPr>
          <w:b/>
        </w:rPr>
      </w:pPr>
    </w:p>
    <w:p w:rsidR="0089339C" w:rsidRDefault="0089339C">
      <w:pPr>
        <w:pStyle w:val="BodyText"/>
        <w:rPr>
          <w:b/>
          <w:sz w:val="15"/>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9"/>
        <w:gridCol w:w="5509"/>
      </w:tblGrid>
      <w:tr w:rsidR="0089339C">
        <w:trPr>
          <w:trHeight w:val="220"/>
        </w:trPr>
        <w:tc>
          <w:tcPr>
            <w:tcW w:w="5509" w:type="dxa"/>
          </w:tcPr>
          <w:p w:rsidR="0089339C" w:rsidRDefault="00BE473C">
            <w:pPr>
              <w:pStyle w:val="TableParagraph"/>
              <w:rPr>
                <w:b/>
                <w:sz w:val="20"/>
              </w:rPr>
            </w:pPr>
            <w:r>
              <w:rPr>
                <w:b/>
                <w:color w:val="0D0D0D"/>
                <w:sz w:val="20"/>
              </w:rPr>
              <w:t>Composition : Trade Secret</w:t>
            </w:r>
          </w:p>
        </w:tc>
        <w:tc>
          <w:tcPr>
            <w:tcW w:w="5509" w:type="dxa"/>
          </w:tcPr>
          <w:p w:rsidR="0089339C" w:rsidRDefault="00BE473C">
            <w:pPr>
              <w:pStyle w:val="TableParagraph"/>
              <w:ind w:left="103"/>
              <w:rPr>
                <w:b/>
                <w:sz w:val="20"/>
              </w:rPr>
            </w:pPr>
            <w:r>
              <w:rPr>
                <w:b/>
                <w:color w:val="0D0D0D"/>
                <w:sz w:val="20"/>
              </w:rPr>
              <w:t>Ingredients ; Trade Secret</w:t>
            </w:r>
          </w:p>
        </w:tc>
      </w:tr>
      <w:tr w:rsidR="0089339C">
        <w:trPr>
          <w:trHeight w:val="220"/>
        </w:trPr>
        <w:tc>
          <w:tcPr>
            <w:tcW w:w="5509" w:type="dxa"/>
          </w:tcPr>
          <w:p w:rsidR="0089339C" w:rsidRDefault="0089339C">
            <w:pPr>
              <w:pStyle w:val="TableParagraph"/>
              <w:spacing w:line="240" w:lineRule="auto"/>
              <w:ind w:left="0"/>
              <w:rPr>
                <w:rFonts w:ascii="Times New Roman"/>
                <w:sz w:val="16"/>
              </w:rPr>
            </w:pPr>
          </w:p>
        </w:tc>
        <w:tc>
          <w:tcPr>
            <w:tcW w:w="5509" w:type="dxa"/>
          </w:tcPr>
          <w:p w:rsidR="0089339C" w:rsidRDefault="0089339C">
            <w:pPr>
              <w:pStyle w:val="TableParagraph"/>
              <w:spacing w:line="240" w:lineRule="auto"/>
              <w:ind w:left="0"/>
              <w:rPr>
                <w:rFonts w:ascii="Times New Roman"/>
                <w:sz w:val="16"/>
              </w:rPr>
            </w:pPr>
          </w:p>
        </w:tc>
      </w:tr>
    </w:tbl>
    <w:p w:rsidR="0089339C" w:rsidRDefault="0089339C">
      <w:pPr>
        <w:pStyle w:val="BodyText"/>
        <w:spacing w:before="2"/>
        <w:rPr>
          <w:b/>
          <w:sz w:val="29"/>
        </w:rPr>
      </w:pPr>
    </w:p>
    <w:p w:rsidR="0089339C" w:rsidRDefault="00BE473C">
      <w:pPr>
        <w:spacing w:before="92"/>
        <w:ind w:left="3732"/>
        <w:rPr>
          <w:b/>
          <w:sz w:val="24"/>
        </w:rPr>
      </w:pPr>
      <w:r>
        <w:rPr>
          <w:b/>
          <w:color w:val="0D0D0D"/>
          <w:sz w:val="24"/>
          <w:u w:val="thick" w:color="0D0D0D"/>
        </w:rPr>
        <w:t>SECTION 4 – First Aid Measurers</w:t>
      </w:r>
    </w:p>
    <w:p w:rsidR="0089339C" w:rsidRDefault="00BE473C">
      <w:pPr>
        <w:spacing w:before="195"/>
        <w:ind w:left="440" w:right="6500" w:hanging="221"/>
        <w:rPr>
          <w:sz w:val="20"/>
        </w:rPr>
      </w:pPr>
      <w:r>
        <w:rPr>
          <w:b/>
          <w:color w:val="0D0D0D"/>
          <w:sz w:val="20"/>
        </w:rPr>
        <w:t xml:space="preserve">Emergency and First Aid Procedures: Ingestion: </w:t>
      </w:r>
      <w:r>
        <w:rPr>
          <w:color w:val="0D0D0D"/>
          <w:sz w:val="20"/>
        </w:rPr>
        <w:t>If ingested seek medical supervision.</w:t>
      </w:r>
    </w:p>
    <w:p w:rsidR="0089339C" w:rsidRDefault="00BE473C">
      <w:pPr>
        <w:pStyle w:val="BodyText"/>
        <w:ind w:left="440" w:right="2149"/>
      </w:pPr>
      <w:r>
        <w:rPr>
          <w:b/>
          <w:color w:val="0D0D0D"/>
        </w:rPr>
        <w:t xml:space="preserve">Skin Contact: </w:t>
      </w:r>
      <w:r>
        <w:rPr>
          <w:color w:val="0D0D0D"/>
        </w:rPr>
        <w:t xml:space="preserve">Wash skin with water and mild soap. If irritation occurs, seek medical attention. </w:t>
      </w:r>
      <w:r>
        <w:rPr>
          <w:b/>
          <w:color w:val="0D0D0D"/>
        </w:rPr>
        <w:t>Eye Contact</w:t>
      </w:r>
      <w:r>
        <w:rPr>
          <w:b/>
          <w:color w:val="0D0D0D"/>
        </w:rPr>
        <w:t xml:space="preserve">: </w:t>
      </w:r>
      <w:r>
        <w:rPr>
          <w:color w:val="0D0D0D"/>
        </w:rPr>
        <w:t xml:space="preserve">Flush eyes with plenty of water for 30 minutes. Get medical attention if warranted. </w:t>
      </w:r>
      <w:r>
        <w:rPr>
          <w:b/>
          <w:color w:val="0D0D0D"/>
        </w:rPr>
        <w:t xml:space="preserve">Inhalation: </w:t>
      </w:r>
      <w:r>
        <w:rPr>
          <w:color w:val="0D0D0D"/>
        </w:rPr>
        <w:t>Remove to fresh air. Seek medical attention if irritation persists.</w:t>
      </w:r>
    </w:p>
    <w:p w:rsidR="0089339C" w:rsidRDefault="0089339C">
      <w:pPr>
        <w:sectPr w:rsidR="0089339C">
          <w:type w:val="continuous"/>
          <w:pgSz w:w="12240" w:h="15840"/>
          <w:pgMar w:top="720" w:right="500" w:bottom="940" w:left="500" w:header="720" w:footer="720" w:gutter="0"/>
          <w:cols w:space="720"/>
        </w:sectPr>
      </w:pPr>
    </w:p>
    <w:p w:rsidR="0089339C" w:rsidRDefault="00BE473C">
      <w:pPr>
        <w:pStyle w:val="Heading1"/>
        <w:spacing w:before="78"/>
        <w:ind w:left="3390" w:right="0"/>
        <w:jc w:val="left"/>
        <w:rPr>
          <w:u w:val="none"/>
        </w:rPr>
      </w:pPr>
      <w:r>
        <w:rPr>
          <w:color w:val="0D0D0D"/>
          <w:u w:val="thick" w:color="0D0D0D"/>
        </w:rPr>
        <w:lastRenderedPageBreak/>
        <w:t>SECTION 5 – Fire – Fighting Measurers</w:t>
      </w:r>
    </w:p>
    <w:p w:rsidR="0089339C" w:rsidRDefault="00BE473C">
      <w:pPr>
        <w:spacing w:before="196"/>
        <w:ind w:left="220"/>
        <w:rPr>
          <w:sz w:val="20"/>
        </w:rPr>
      </w:pPr>
      <w:r>
        <w:rPr>
          <w:b/>
          <w:color w:val="0D0D0D"/>
          <w:sz w:val="20"/>
        </w:rPr>
        <w:t xml:space="preserve">Flash Point (Method Used): </w:t>
      </w:r>
      <w:r>
        <w:rPr>
          <w:color w:val="0D0D0D"/>
          <w:sz w:val="20"/>
        </w:rPr>
        <w:t>Not applicable</w:t>
      </w:r>
    </w:p>
    <w:p w:rsidR="0089339C" w:rsidRDefault="00BE473C">
      <w:pPr>
        <w:ind w:left="220"/>
        <w:rPr>
          <w:sz w:val="20"/>
        </w:rPr>
      </w:pPr>
      <w:r>
        <w:rPr>
          <w:b/>
          <w:color w:val="0D0D0D"/>
          <w:sz w:val="20"/>
        </w:rPr>
        <w:t xml:space="preserve">Flammable Limits: </w:t>
      </w:r>
      <w:r>
        <w:rPr>
          <w:color w:val="0D0D0D"/>
          <w:sz w:val="20"/>
          <w:u w:val="single" w:color="0D0D0D"/>
        </w:rPr>
        <w:t>LEL</w:t>
      </w:r>
      <w:r>
        <w:rPr>
          <w:color w:val="0D0D0D"/>
          <w:sz w:val="20"/>
        </w:rPr>
        <w:t xml:space="preserve"> – not applicable</w:t>
      </w:r>
      <w:r>
        <w:rPr>
          <w:color w:val="0D0D0D"/>
          <w:sz w:val="20"/>
        </w:rPr>
        <w:t xml:space="preserve"> </w:t>
      </w:r>
      <w:r>
        <w:rPr>
          <w:color w:val="0D0D0D"/>
          <w:sz w:val="20"/>
          <w:u w:val="single" w:color="0D0D0D"/>
        </w:rPr>
        <w:t>UEL</w:t>
      </w:r>
      <w:r>
        <w:rPr>
          <w:color w:val="0D0D0D"/>
          <w:sz w:val="20"/>
        </w:rPr>
        <w:t xml:space="preserve"> – Not applicable</w:t>
      </w:r>
    </w:p>
    <w:p w:rsidR="0089339C" w:rsidRDefault="00BE473C">
      <w:pPr>
        <w:ind w:left="220"/>
        <w:rPr>
          <w:sz w:val="20"/>
        </w:rPr>
      </w:pPr>
      <w:r>
        <w:rPr>
          <w:b/>
          <w:color w:val="0D0D0D"/>
          <w:sz w:val="20"/>
        </w:rPr>
        <w:t xml:space="preserve">Special Fire Fighting Procedures: </w:t>
      </w:r>
      <w:r>
        <w:rPr>
          <w:color w:val="0D0D0D"/>
          <w:sz w:val="20"/>
        </w:rPr>
        <w:t>Wear proper fire - fighting equipment</w:t>
      </w:r>
    </w:p>
    <w:p w:rsidR="0089339C" w:rsidRDefault="00BE473C">
      <w:pPr>
        <w:pStyle w:val="Heading2"/>
        <w:rPr>
          <w:b w:val="0"/>
        </w:rPr>
      </w:pPr>
      <w:r>
        <w:rPr>
          <w:color w:val="0D0D0D"/>
        </w:rPr>
        <w:t xml:space="preserve">Unusual Fire and Explosion Hazards: </w:t>
      </w:r>
      <w:r>
        <w:rPr>
          <w:b w:val="0"/>
          <w:color w:val="0D0D0D"/>
        </w:rPr>
        <w:t>None</w:t>
      </w:r>
    </w:p>
    <w:p w:rsidR="0089339C" w:rsidRDefault="0089339C">
      <w:pPr>
        <w:pStyle w:val="BodyText"/>
        <w:spacing w:before="1"/>
      </w:pPr>
    </w:p>
    <w:p w:rsidR="0089339C" w:rsidRDefault="00BE473C">
      <w:pPr>
        <w:ind w:left="2478" w:right="2480"/>
        <w:jc w:val="center"/>
        <w:rPr>
          <w:b/>
          <w:sz w:val="24"/>
        </w:rPr>
      </w:pPr>
      <w:r>
        <w:rPr>
          <w:b/>
          <w:color w:val="0D0D0D"/>
          <w:sz w:val="24"/>
          <w:u w:val="thick" w:color="0D0D0D"/>
        </w:rPr>
        <w:t>SECTION 6 – Accidental Release Measurers</w:t>
      </w:r>
    </w:p>
    <w:p w:rsidR="0089339C" w:rsidRDefault="00BE473C">
      <w:pPr>
        <w:spacing w:before="197" w:line="242" w:lineRule="auto"/>
        <w:ind w:left="220" w:right="527"/>
        <w:rPr>
          <w:sz w:val="20"/>
        </w:rPr>
      </w:pPr>
      <w:r>
        <w:rPr>
          <w:b/>
          <w:color w:val="0D0D0D"/>
          <w:sz w:val="20"/>
        </w:rPr>
        <w:t xml:space="preserve">Material is Released or Spilled: </w:t>
      </w:r>
      <w:r>
        <w:rPr>
          <w:color w:val="0D0D0D"/>
          <w:sz w:val="20"/>
        </w:rPr>
        <w:t>All spills should be contained and picked up with earthen or other absorbent material and placed in suitable container.</w:t>
      </w:r>
    </w:p>
    <w:p w:rsidR="0089339C" w:rsidRDefault="00BE473C">
      <w:pPr>
        <w:spacing w:line="223" w:lineRule="exact"/>
        <w:ind w:left="220"/>
        <w:rPr>
          <w:sz w:val="20"/>
        </w:rPr>
      </w:pPr>
      <w:r>
        <w:rPr>
          <w:b/>
          <w:color w:val="0D0D0D"/>
          <w:sz w:val="20"/>
        </w:rPr>
        <w:t xml:space="preserve">Waste Disposal Method: </w:t>
      </w:r>
      <w:r>
        <w:rPr>
          <w:color w:val="0D0D0D"/>
          <w:sz w:val="20"/>
        </w:rPr>
        <w:t>Follow Local, State, Federal regulations.</w:t>
      </w:r>
    </w:p>
    <w:p w:rsidR="0089339C" w:rsidRDefault="0089339C">
      <w:pPr>
        <w:pStyle w:val="BodyText"/>
        <w:rPr>
          <w:sz w:val="22"/>
        </w:rPr>
      </w:pPr>
    </w:p>
    <w:p w:rsidR="0089339C" w:rsidRDefault="0089339C">
      <w:pPr>
        <w:pStyle w:val="BodyText"/>
        <w:rPr>
          <w:sz w:val="22"/>
        </w:rPr>
      </w:pPr>
    </w:p>
    <w:p w:rsidR="0089339C" w:rsidRDefault="00BE473C">
      <w:pPr>
        <w:pStyle w:val="Heading1"/>
        <w:spacing w:before="189"/>
        <w:ind w:left="2479" w:right="2479"/>
        <w:rPr>
          <w:u w:val="none"/>
        </w:rPr>
      </w:pPr>
      <w:r>
        <w:rPr>
          <w:color w:val="0D0D0D"/>
          <w:u w:val="thick" w:color="0D0D0D"/>
        </w:rPr>
        <w:t>SECTION 7 – Handling and Storage</w:t>
      </w:r>
    </w:p>
    <w:p w:rsidR="0089339C" w:rsidRDefault="00BE473C">
      <w:pPr>
        <w:spacing w:before="195" w:line="242" w:lineRule="auto"/>
        <w:ind w:left="220" w:right="291"/>
        <w:rPr>
          <w:sz w:val="20"/>
        </w:rPr>
      </w:pPr>
      <w:r>
        <w:rPr>
          <w:b/>
          <w:color w:val="0D0D0D"/>
          <w:sz w:val="20"/>
        </w:rPr>
        <w:t>Pre</w:t>
      </w:r>
      <w:r>
        <w:rPr>
          <w:b/>
          <w:color w:val="0D0D0D"/>
          <w:sz w:val="20"/>
        </w:rPr>
        <w:t xml:space="preserve">cautions Handling and Storing: </w:t>
      </w:r>
      <w:r>
        <w:rPr>
          <w:color w:val="0D0D0D"/>
          <w:sz w:val="20"/>
        </w:rPr>
        <w:t>Spilled material may be slippery. Clean up spills completely before walking in the area of spillage.</w:t>
      </w:r>
    </w:p>
    <w:p w:rsidR="0089339C" w:rsidRDefault="00BE473C">
      <w:pPr>
        <w:spacing w:line="229" w:lineRule="exact"/>
        <w:ind w:left="220"/>
        <w:rPr>
          <w:sz w:val="20"/>
        </w:rPr>
      </w:pPr>
      <w:r>
        <w:rPr>
          <w:b/>
          <w:color w:val="0D0D0D"/>
          <w:sz w:val="20"/>
        </w:rPr>
        <w:t xml:space="preserve">Other Precautions: </w:t>
      </w:r>
      <w:r>
        <w:rPr>
          <w:color w:val="0D0D0D"/>
          <w:sz w:val="20"/>
        </w:rPr>
        <w:t>Follow Local, State and Federal regulations.</w:t>
      </w:r>
    </w:p>
    <w:p w:rsidR="0089339C" w:rsidRDefault="0089339C">
      <w:pPr>
        <w:pStyle w:val="BodyText"/>
        <w:spacing w:before="5"/>
        <w:rPr>
          <w:sz w:val="17"/>
        </w:rPr>
      </w:pPr>
    </w:p>
    <w:p w:rsidR="0089339C" w:rsidRDefault="00BE473C">
      <w:pPr>
        <w:pStyle w:val="Heading1"/>
        <w:ind w:left="2479" w:right="2479"/>
        <w:rPr>
          <w:u w:val="none"/>
        </w:rPr>
      </w:pPr>
      <w:r>
        <w:rPr>
          <w:color w:val="0D0D0D"/>
          <w:u w:val="thick" w:color="0D0D0D"/>
        </w:rPr>
        <w:t>SECTION 8 – Exposure Contro</w:t>
      </w:r>
      <w:bookmarkStart w:id="0" w:name="_GoBack"/>
      <w:bookmarkEnd w:id="0"/>
      <w:r>
        <w:rPr>
          <w:color w:val="0D0D0D"/>
          <w:u w:val="thick" w:color="0D0D0D"/>
        </w:rPr>
        <w:t>l / Personal Protection</w:t>
      </w:r>
    </w:p>
    <w:p w:rsidR="0089339C" w:rsidRDefault="00BE473C">
      <w:pPr>
        <w:pStyle w:val="BodyText"/>
        <w:spacing w:before="195" w:line="242" w:lineRule="auto"/>
        <w:ind w:left="220" w:right="291"/>
      </w:pPr>
      <w:r>
        <w:rPr>
          <w:b/>
          <w:color w:val="0D0D0D"/>
        </w:rPr>
        <w:t xml:space="preserve">Personal Protective Equipment: </w:t>
      </w:r>
      <w:r>
        <w:rPr>
          <w:color w:val="0D0D0D"/>
        </w:rPr>
        <w:t xml:space="preserve">Protective clothing, gloves and safety eyewear protection are not required, but recommended. Use appropriate NIOSH-approved respirator when needed. Respirator selection must be based on contamination levels found in the work </w:t>
      </w:r>
      <w:r>
        <w:rPr>
          <w:color w:val="0D0D0D"/>
        </w:rPr>
        <w:t>area. Comply with OSHA standards 29 CFR 1910.134 Respiratory Protection and 29 CFR 1910.1000 Air contaminants Permissible Exposure Limits. Eyewash and Safety Shower should be available.</w:t>
      </w:r>
    </w:p>
    <w:p w:rsidR="0089339C" w:rsidRDefault="00BE473C">
      <w:pPr>
        <w:pStyle w:val="BodyText"/>
        <w:spacing w:line="228" w:lineRule="exact"/>
        <w:ind w:left="220"/>
      </w:pPr>
      <w:r>
        <w:rPr>
          <w:color w:val="0D0D0D"/>
        </w:rPr>
        <w:t>Follow good housekeeping and manufacturing practices.</w:t>
      </w:r>
    </w:p>
    <w:p w:rsidR="0089339C" w:rsidRDefault="0089339C">
      <w:pPr>
        <w:pStyle w:val="BodyText"/>
        <w:spacing w:before="4"/>
        <w:rPr>
          <w:sz w:val="17"/>
        </w:rPr>
      </w:pPr>
    </w:p>
    <w:p w:rsidR="0089339C" w:rsidRDefault="00BE473C">
      <w:pPr>
        <w:pStyle w:val="BodyText"/>
        <w:spacing w:before="1"/>
        <w:ind w:left="220"/>
      </w:pPr>
      <w:r>
        <w:rPr>
          <w:b/>
          <w:color w:val="0D0D0D"/>
        </w:rPr>
        <w:t xml:space="preserve">Ventilation: </w:t>
      </w:r>
      <w:r>
        <w:rPr>
          <w:color w:val="0D0D0D"/>
        </w:rPr>
        <w:t>Us</w:t>
      </w:r>
      <w:r>
        <w:rPr>
          <w:color w:val="0D0D0D"/>
        </w:rPr>
        <w:t>e general or local exhaust ventilation to meet OSHA PELS or ACGIH TLV requirements.</w:t>
      </w:r>
    </w:p>
    <w:p w:rsidR="0089339C" w:rsidRDefault="0089339C">
      <w:pPr>
        <w:pStyle w:val="BodyText"/>
        <w:rPr>
          <w:sz w:val="22"/>
        </w:rPr>
      </w:pPr>
    </w:p>
    <w:p w:rsidR="0089339C" w:rsidRDefault="0089339C">
      <w:pPr>
        <w:pStyle w:val="BodyText"/>
        <w:rPr>
          <w:sz w:val="22"/>
        </w:rPr>
      </w:pPr>
    </w:p>
    <w:p w:rsidR="0089339C" w:rsidRDefault="00BE473C">
      <w:pPr>
        <w:pStyle w:val="Heading1"/>
        <w:spacing w:before="170"/>
        <w:ind w:left="2478" w:right="2480"/>
        <w:rPr>
          <w:u w:val="none"/>
        </w:rPr>
      </w:pPr>
      <w:r>
        <w:rPr>
          <w:color w:val="0D0D0D"/>
          <w:u w:val="thick" w:color="0D0D0D"/>
        </w:rPr>
        <w:t>SECTION 9 Physical and Chemical Properties</w:t>
      </w:r>
    </w:p>
    <w:p w:rsidR="0089339C" w:rsidRDefault="0089339C">
      <w:pPr>
        <w:pStyle w:val="BodyText"/>
        <w:spacing w:before="6"/>
        <w:rPr>
          <w:b/>
          <w:sz w:val="17"/>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9"/>
        <w:gridCol w:w="5509"/>
      </w:tblGrid>
      <w:tr w:rsidR="0089339C">
        <w:trPr>
          <w:trHeight w:val="220"/>
        </w:trPr>
        <w:tc>
          <w:tcPr>
            <w:tcW w:w="5509" w:type="dxa"/>
          </w:tcPr>
          <w:p w:rsidR="0089339C" w:rsidRDefault="00BE473C">
            <w:pPr>
              <w:pStyle w:val="TableParagraph"/>
              <w:rPr>
                <w:sz w:val="20"/>
              </w:rPr>
            </w:pPr>
            <w:r>
              <w:rPr>
                <w:b/>
                <w:color w:val="0D0D0D"/>
                <w:sz w:val="20"/>
              </w:rPr>
              <w:t xml:space="preserve">Boiling Point (F): </w:t>
            </w:r>
            <w:r>
              <w:rPr>
                <w:color w:val="0D0D0D"/>
                <w:sz w:val="20"/>
              </w:rPr>
              <w:t>Not Available</w:t>
            </w:r>
          </w:p>
        </w:tc>
        <w:tc>
          <w:tcPr>
            <w:tcW w:w="5509" w:type="dxa"/>
          </w:tcPr>
          <w:p w:rsidR="0089339C" w:rsidRDefault="00BE473C">
            <w:pPr>
              <w:pStyle w:val="TableParagraph"/>
              <w:ind w:left="103"/>
              <w:rPr>
                <w:sz w:val="20"/>
              </w:rPr>
            </w:pPr>
            <w:r>
              <w:rPr>
                <w:b/>
                <w:color w:val="0D0D0D"/>
                <w:sz w:val="20"/>
              </w:rPr>
              <w:t>Specific Gravity (H</w:t>
            </w:r>
            <w:r>
              <w:rPr>
                <w:b/>
                <w:color w:val="0D0D0D"/>
                <w:position w:val="10"/>
                <w:sz w:val="13"/>
              </w:rPr>
              <w:t>2</w:t>
            </w:r>
            <w:r>
              <w:rPr>
                <w:b/>
                <w:color w:val="0D0D0D"/>
                <w:sz w:val="20"/>
              </w:rPr>
              <w:t xml:space="preserve">O=1): </w:t>
            </w:r>
            <w:r>
              <w:rPr>
                <w:color w:val="0D0D0D"/>
                <w:sz w:val="20"/>
              </w:rPr>
              <w:t>~ 1.23</w:t>
            </w:r>
          </w:p>
        </w:tc>
      </w:tr>
      <w:tr w:rsidR="0089339C">
        <w:trPr>
          <w:trHeight w:val="220"/>
        </w:trPr>
        <w:tc>
          <w:tcPr>
            <w:tcW w:w="5509" w:type="dxa"/>
          </w:tcPr>
          <w:p w:rsidR="0089339C" w:rsidRDefault="00BE473C">
            <w:pPr>
              <w:pStyle w:val="TableParagraph"/>
              <w:spacing w:line="208" w:lineRule="exact"/>
              <w:rPr>
                <w:sz w:val="20"/>
              </w:rPr>
            </w:pPr>
            <w:r>
              <w:rPr>
                <w:b/>
                <w:color w:val="0D0D0D"/>
                <w:sz w:val="20"/>
              </w:rPr>
              <w:t xml:space="preserve">Vapor Pressure (mmHg): </w:t>
            </w:r>
            <w:r>
              <w:rPr>
                <w:color w:val="0D0D0D"/>
                <w:sz w:val="20"/>
              </w:rPr>
              <w:t>Not available</w:t>
            </w:r>
          </w:p>
        </w:tc>
        <w:tc>
          <w:tcPr>
            <w:tcW w:w="5509" w:type="dxa"/>
            <w:tcBorders>
              <w:bottom w:val="single" w:sz="6" w:space="0" w:color="0D0D0D"/>
            </w:tcBorders>
          </w:tcPr>
          <w:p w:rsidR="0089339C" w:rsidRDefault="00BE473C">
            <w:pPr>
              <w:pStyle w:val="TableParagraph"/>
              <w:spacing w:line="208" w:lineRule="exact"/>
              <w:ind w:left="103"/>
              <w:rPr>
                <w:sz w:val="20"/>
              </w:rPr>
            </w:pPr>
            <w:r>
              <w:rPr>
                <w:b/>
                <w:color w:val="0D0D0D"/>
                <w:sz w:val="20"/>
              </w:rPr>
              <w:t>Evaporation Rate (n-</w:t>
            </w:r>
            <w:r>
              <w:rPr>
                <w:b/>
                <w:color w:val="0D0D0D"/>
                <w:sz w:val="20"/>
                <w:u w:val="thick" w:color="0D0D0D"/>
              </w:rPr>
              <w:t>BuAc</w:t>
            </w:r>
            <w:r>
              <w:rPr>
                <w:b/>
                <w:color w:val="0D0D0D"/>
                <w:sz w:val="20"/>
              </w:rPr>
              <w:t xml:space="preserve">=1): </w:t>
            </w:r>
            <w:r>
              <w:rPr>
                <w:color w:val="0D0D0D"/>
                <w:sz w:val="20"/>
              </w:rPr>
              <w:t>Not available</w:t>
            </w:r>
          </w:p>
        </w:tc>
      </w:tr>
      <w:tr w:rsidR="0089339C">
        <w:trPr>
          <w:trHeight w:val="220"/>
        </w:trPr>
        <w:tc>
          <w:tcPr>
            <w:tcW w:w="5509" w:type="dxa"/>
          </w:tcPr>
          <w:p w:rsidR="0089339C" w:rsidRDefault="00BE473C">
            <w:pPr>
              <w:pStyle w:val="TableParagraph"/>
              <w:spacing w:line="208" w:lineRule="exact"/>
              <w:rPr>
                <w:sz w:val="20"/>
              </w:rPr>
            </w:pPr>
            <w:r>
              <w:rPr>
                <w:b/>
                <w:color w:val="0D0D0D"/>
                <w:sz w:val="20"/>
              </w:rPr>
              <w:t xml:space="preserve">Vapor Density (Air=1): </w:t>
            </w:r>
            <w:r>
              <w:rPr>
                <w:color w:val="0D0D0D"/>
                <w:sz w:val="20"/>
              </w:rPr>
              <w:t>Not available</w:t>
            </w:r>
          </w:p>
        </w:tc>
        <w:tc>
          <w:tcPr>
            <w:tcW w:w="5509" w:type="dxa"/>
            <w:tcBorders>
              <w:top w:val="single" w:sz="6" w:space="0" w:color="0D0D0D"/>
            </w:tcBorders>
          </w:tcPr>
          <w:p w:rsidR="0089339C" w:rsidRDefault="00BE473C">
            <w:pPr>
              <w:pStyle w:val="TableParagraph"/>
              <w:spacing w:line="208" w:lineRule="exact"/>
              <w:ind w:left="103"/>
              <w:rPr>
                <w:sz w:val="20"/>
              </w:rPr>
            </w:pPr>
            <w:r>
              <w:rPr>
                <w:b/>
                <w:color w:val="0D0D0D"/>
                <w:sz w:val="20"/>
              </w:rPr>
              <w:t xml:space="preserve">Melting Point: </w:t>
            </w:r>
            <w:r>
              <w:rPr>
                <w:color w:val="0D0D0D"/>
                <w:sz w:val="20"/>
              </w:rPr>
              <w:t>Not available</w:t>
            </w:r>
          </w:p>
        </w:tc>
      </w:tr>
      <w:tr w:rsidR="0089339C">
        <w:trPr>
          <w:trHeight w:val="220"/>
        </w:trPr>
        <w:tc>
          <w:tcPr>
            <w:tcW w:w="5509" w:type="dxa"/>
          </w:tcPr>
          <w:p w:rsidR="0089339C" w:rsidRDefault="00BE473C">
            <w:pPr>
              <w:pStyle w:val="TableParagraph"/>
              <w:rPr>
                <w:sz w:val="20"/>
              </w:rPr>
            </w:pPr>
            <w:r>
              <w:rPr>
                <w:b/>
                <w:color w:val="0D0D0D"/>
                <w:sz w:val="20"/>
              </w:rPr>
              <w:t xml:space="preserve">Solubility in Water: </w:t>
            </w:r>
            <w:r>
              <w:rPr>
                <w:color w:val="0D0D0D"/>
                <w:sz w:val="20"/>
              </w:rPr>
              <w:t>Complete</w:t>
            </w:r>
          </w:p>
        </w:tc>
        <w:tc>
          <w:tcPr>
            <w:tcW w:w="5509" w:type="dxa"/>
          </w:tcPr>
          <w:p w:rsidR="0089339C" w:rsidRDefault="00BE473C">
            <w:pPr>
              <w:pStyle w:val="TableParagraph"/>
              <w:ind w:left="103"/>
              <w:rPr>
                <w:sz w:val="20"/>
              </w:rPr>
            </w:pPr>
            <w:r>
              <w:rPr>
                <w:b/>
                <w:color w:val="0D0D0D"/>
                <w:sz w:val="20"/>
              </w:rPr>
              <w:t xml:space="preserve">pH: </w:t>
            </w:r>
            <w:r>
              <w:rPr>
                <w:color w:val="0D0D0D"/>
                <w:sz w:val="20"/>
              </w:rPr>
              <w:t>± 6.0 – 8.5</w:t>
            </w:r>
          </w:p>
        </w:tc>
      </w:tr>
      <w:tr w:rsidR="0089339C">
        <w:trPr>
          <w:trHeight w:val="220"/>
        </w:trPr>
        <w:tc>
          <w:tcPr>
            <w:tcW w:w="5509" w:type="dxa"/>
          </w:tcPr>
          <w:p w:rsidR="0089339C" w:rsidRDefault="00BE473C">
            <w:pPr>
              <w:pStyle w:val="TableParagraph"/>
              <w:spacing w:line="212" w:lineRule="exact"/>
              <w:rPr>
                <w:sz w:val="20"/>
              </w:rPr>
            </w:pPr>
            <w:r>
              <w:rPr>
                <w:b/>
                <w:color w:val="0D0D0D"/>
                <w:sz w:val="20"/>
              </w:rPr>
              <w:t xml:space="preserve">Appearance and Odor: </w:t>
            </w:r>
            <w:r>
              <w:rPr>
                <w:color w:val="0D0D0D"/>
                <w:sz w:val="20"/>
              </w:rPr>
              <w:t>dark aqueous solution; sweet odor</w:t>
            </w:r>
          </w:p>
        </w:tc>
        <w:tc>
          <w:tcPr>
            <w:tcW w:w="5509" w:type="dxa"/>
          </w:tcPr>
          <w:p w:rsidR="0089339C" w:rsidRDefault="0089339C">
            <w:pPr>
              <w:pStyle w:val="TableParagraph"/>
              <w:spacing w:line="240" w:lineRule="auto"/>
              <w:ind w:left="0"/>
              <w:rPr>
                <w:rFonts w:ascii="Times New Roman"/>
                <w:sz w:val="16"/>
              </w:rPr>
            </w:pPr>
          </w:p>
        </w:tc>
      </w:tr>
    </w:tbl>
    <w:p w:rsidR="0089339C" w:rsidRDefault="0089339C">
      <w:pPr>
        <w:pStyle w:val="BodyText"/>
        <w:rPr>
          <w:b/>
        </w:rPr>
      </w:pPr>
    </w:p>
    <w:p w:rsidR="0089339C" w:rsidRDefault="0089339C">
      <w:pPr>
        <w:pStyle w:val="BodyText"/>
        <w:rPr>
          <w:b/>
        </w:rPr>
      </w:pPr>
    </w:p>
    <w:p w:rsidR="0089339C" w:rsidRDefault="0089339C">
      <w:pPr>
        <w:pStyle w:val="BodyText"/>
        <w:rPr>
          <w:b/>
        </w:rPr>
      </w:pPr>
    </w:p>
    <w:p w:rsidR="0089339C" w:rsidRDefault="0089339C">
      <w:pPr>
        <w:pStyle w:val="BodyText"/>
        <w:rPr>
          <w:b/>
        </w:rPr>
      </w:pPr>
    </w:p>
    <w:p w:rsidR="0089339C" w:rsidRDefault="0089339C">
      <w:pPr>
        <w:pStyle w:val="BodyText"/>
        <w:rPr>
          <w:b/>
        </w:rPr>
      </w:pPr>
    </w:p>
    <w:p w:rsidR="0089339C" w:rsidRDefault="0089339C">
      <w:pPr>
        <w:pStyle w:val="BodyText"/>
        <w:rPr>
          <w:b/>
        </w:rPr>
      </w:pPr>
    </w:p>
    <w:p w:rsidR="0089339C" w:rsidRDefault="0089339C">
      <w:pPr>
        <w:pStyle w:val="BodyText"/>
        <w:rPr>
          <w:b/>
        </w:rPr>
      </w:pPr>
    </w:p>
    <w:p w:rsidR="0089339C" w:rsidRDefault="0089339C">
      <w:pPr>
        <w:pStyle w:val="BodyText"/>
        <w:spacing w:before="4"/>
        <w:rPr>
          <w:b/>
          <w:sz w:val="17"/>
        </w:rPr>
      </w:pPr>
    </w:p>
    <w:p w:rsidR="0089339C" w:rsidRDefault="00BE473C">
      <w:pPr>
        <w:spacing w:before="92"/>
        <w:ind w:left="3472"/>
        <w:rPr>
          <w:b/>
          <w:sz w:val="24"/>
        </w:rPr>
      </w:pPr>
      <w:r>
        <w:rPr>
          <w:b/>
          <w:color w:val="0D0D0D"/>
          <w:sz w:val="24"/>
          <w:u w:val="thick" w:color="0D0D0D"/>
        </w:rPr>
        <w:t>SECTION 10 – Stability and Reactivity</w:t>
      </w:r>
    </w:p>
    <w:p w:rsidR="0089339C" w:rsidRDefault="00BE473C">
      <w:pPr>
        <w:spacing w:before="195"/>
        <w:ind w:left="220"/>
        <w:rPr>
          <w:sz w:val="20"/>
        </w:rPr>
      </w:pPr>
      <w:r>
        <w:rPr>
          <w:b/>
          <w:color w:val="0D0D0D"/>
          <w:sz w:val="20"/>
        </w:rPr>
        <w:t xml:space="preserve">Stability: </w:t>
      </w:r>
      <w:r>
        <w:rPr>
          <w:color w:val="0D0D0D"/>
          <w:sz w:val="20"/>
        </w:rPr>
        <w:t>Stable</w:t>
      </w:r>
    </w:p>
    <w:p w:rsidR="0089339C" w:rsidRDefault="00BE473C">
      <w:pPr>
        <w:pStyle w:val="Heading2"/>
        <w:rPr>
          <w:b w:val="0"/>
        </w:rPr>
      </w:pPr>
      <w:r>
        <w:rPr>
          <w:color w:val="0D0D0D"/>
        </w:rPr>
        <w:t xml:space="preserve">Conditions to avoid: </w:t>
      </w:r>
      <w:r>
        <w:rPr>
          <w:b w:val="0"/>
          <w:color w:val="0D0D0D"/>
        </w:rPr>
        <w:t>None</w:t>
      </w:r>
    </w:p>
    <w:p w:rsidR="0089339C" w:rsidRDefault="00BE473C">
      <w:pPr>
        <w:ind w:left="220"/>
        <w:rPr>
          <w:sz w:val="20"/>
        </w:rPr>
      </w:pPr>
      <w:r>
        <w:rPr>
          <w:b/>
          <w:color w:val="0D0D0D"/>
          <w:sz w:val="20"/>
        </w:rPr>
        <w:t xml:space="preserve">Incompatibility: (Materials to Avoid): </w:t>
      </w:r>
      <w:r>
        <w:rPr>
          <w:color w:val="0D0D0D"/>
          <w:sz w:val="20"/>
        </w:rPr>
        <w:t>May corrosive to light metals.</w:t>
      </w:r>
    </w:p>
    <w:p w:rsidR="0089339C" w:rsidRDefault="00BE473C">
      <w:pPr>
        <w:spacing w:line="229" w:lineRule="exact"/>
        <w:ind w:left="220"/>
        <w:rPr>
          <w:sz w:val="20"/>
        </w:rPr>
      </w:pPr>
      <w:r>
        <w:rPr>
          <w:b/>
          <w:color w:val="0D0D0D"/>
          <w:sz w:val="20"/>
        </w:rPr>
        <w:t xml:space="preserve">Hazardous Decomposition Products: </w:t>
      </w:r>
      <w:r>
        <w:rPr>
          <w:color w:val="0D0D0D"/>
          <w:sz w:val="20"/>
        </w:rPr>
        <w:t>Thermal decomposition may produce oxides of carbon.</w:t>
      </w:r>
    </w:p>
    <w:p w:rsidR="0089339C" w:rsidRDefault="00BE473C">
      <w:pPr>
        <w:spacing w:line="229" w:lineRule="exact"/>
        <w:ind w:left="220"/>
        <w:rPr>
          <w:sz w:val="20"/>
        </w:rPr>
      </w:pPr>
      <w:r>
        <w:rPr>
          <w:b/>
          <w:color w:val="0D0D0D"/>
          <w:sz w:val="20"/>
        </w:rPr>
        <w:t xml:space="preserve">Hazardous Polymerization: </w:t>
      </w:r>
      <w:r>
        <w:rPr>
          <w:color w:val="0D0D0D"/>
          <w:sz w:val="20"/>
        </w:rPr>
        <w:t>Will not occur.</w:t>
      </w:r>
    </w:p>
    <w:p w:rsidR="0089339C" w:rsidRDefault="0089339C">
      <w:pPr>
        <w:spacing w:line="229" w:lineRule="exact"/>
        <w:rPr>
          <w:sz w:val="20"/>
        </w:rPr>
        <w:sectPr w:rsidR="0089339C">
          <w:pgSz w:w="12240" w:h="15840"/>
          <w:pgMar w:top="640" w:right="500" w:bottom="940" w:left="500" w:header="0" w:footer="746" w:gutter="0"/>
          <w:cols w:space="720"/>
        </w:sectPr>
      </w:pPr>
    </w:p>
    <w:p w:rsidR="0089339C" w:rsidRDefault="0089339C">
      <w:pPr>
        <w:pStyle w:val="BodyText"/>
      </w:pPr>
    </w:p>
    <w:p w:rsidR="0089339C" w:rsidRDefault="0089339C">
      <w:pPr>
        <w:pStyle w:val="BodyText"/>
        <w:spacing w:before="1"/>
        <w:rPr>
          <w:sz w:val="16"/>
        </w:rPr>
      </w:pPr>
    </w:p>
    <w:p w:rsidR="0089339C" w:rsidRDefault="00BE473C">
      <w:pPr>
        <w:pStyle w:val="Heading1"/>
        <w:spacing w:before="92"/>
        <w:rPr>
          <w:u w:val="none"/>
        </w:rPr>
      </w:pPr>
      <w:r>
        <w:rPr>
          <w:color w:val="0D0D0D"/>
          <w:u w:val="thick" w:color="0D0D0D"/>
        </w:rPr>
        <w:t>SECTION 1</w:t>
      </w:r>
      <w:r>
        <w:rPr>
          <w:color w:val="0D0D0D"/>
          <w:u w:val="thick" w:color="0D0D0D"/>
        </w:rPr>
        <w:t>1 Toxicological Information</w:t>
      </w:r>
    </w:p>
    <w:p w:rsidR="0089339C" w:rsidRDefault="00BE473C">
      <w:pPr>
        <w:pStyle w:val="Heading2"/>
        <w:spacing w:before="198"/>
        <w:ind w:left="100" w:right="34"/>
      </w:pPr>
      <w:r>
        <w:rPr>
          <w:color w:val="0D0D0D"/>
        </w:rPr>
        <w:t>Product Ingredients not listed in the National Toxicology Program (NTP) Report on Carcinogens or has been found to be a potential carcinogen in the International Agency for Research on Cancer (IARC) Monographs, or by OSHA.</w:t>
      </w:r>
    </w:p>
    <w:p w:rsidR="0089339C" w:rsidRDefault="00BE473C">
      <w:pPr>
        <w:ind w:left="100"/>
        <w:rPr>
          <w:sz w:val="20"/>
        </w:rPr>
      </w:pPr>
      <w:r>
        <w:rPr>
          <w:b/>
          <w:color w:val="0D0D0D"/>
          <w:sz w:val="20"/>
        </w:rPr>
        <w:t xml:space="preserve">Route(s) of Entry: </w:t>
      </w:r>
      <w:r>
        <w:rPr>
          <w:color w:val="0D0D0D"/>
          <w:sz w:val="20"/>
        </w:rPr>
        <w:t>Inhalation – none. Skin – unlikely. Eyes – yes. Ingestion – unlikely.</w:t>
      </w:r>
    </w:p>
    <w:p w:rsidR="0089339C" w:rsidRDefault="00BE473C">
      <w:pPr>
        <w:ind w:left="100"/>
        <w:rPr>
          <w:sz w:val="20"/>
        </w:rPr>
      </w:pPr>
      <w:r>
        <w:rPr>
          <w:b/>
          <w:color w:val="0D0D0D"/>
          <w:sz w:val="20"/>
        </w:rPr>
        <w:t xml:space="preserve">Carcinogenicity: </w:t>
      </w:r>
      <w:r>
        <w:rPr>
          <w:color w:val="0D0D0D"/>
          <w:sz w:val="20"/>
        </w:rPr>
        <w:t>NTP – no. OSHA –no.</w:t>
      </w:r>
    </w:p>
    <w:p w:rsidR="0089339C" w:rsidRDefault="00BE473C">
      <w:pPr>
        <w:ind w:left="100"/>
        <w:rPr>
          <w:sz w:val="20"/>
        </w:rPr>
      </w:pPr>
      <w:r>
        <w:rPr>
          <w:b/>
          <w:color w:val="0D0D0D"/>
          <w:sz w:val="20"/>
        </w:rPr>
        <w:t xml:space="preserve">Threshold Limit Value: </w:t>
      </w:r>
      <w:r>
        <w:rPr>
          <w:color w:val="0D0D0D"/>
          <w:sz w:val="20"/>
        </w:rPr>
        <w:t>See Section II</w:t>
      </w:r>
    </w:p>
    <w:p w:rsidR="0089339C" w:rsidRDefault="00BE473C">
      <w:pPr>
        <w:ind w:left="100"/>
        <w:rPr>
          <w:sz w:val="20"/>
        </w:rPr>
      </w:pPr>
      <w:r>
        <w:rPr>
          <w:b/>
          <w:color w:val="0D0D0D"/>
          <w:sz w:val="20"/>
        </w:rPr>
        <w:t xml:space="preserve">Acute Oral Toxicity (rat): </w:t>
      </w:r>
      <w:r>
        <w:rPr>
          <w:color w:val="0D0D0D"/>
          <w:sz w:val="20"/>
        </w:rPr>
        <w:t>Low acute oral toxicity; LDL50 for rats is &gt;5 g/kg.</w:t>
      </w:r>
    </w:p>
    <w:p w:rsidR="0089339C" w:rsidRDefault="00BE473C">
      <w:pPr>
        <w:ind w:left="100" w:right="7383"/>
        <w:rPr>
          <w:sz w:val="20"/>
        </w:rPr>
      </w:pPr>
      <w:r>
        <w:rPr>
          <w:b/>
          <w:color w:val="0D0D0D"/>
          <w:sz w:val="20"/>
        </w:rPr>
        <w:t>Skin Contact:</w:t>
      </w:r>
      <w:r>
        <w:rPr>
          <w:b/>
          <w:color w:val="0D0D0D"/>
          <w:sz w:val="20"/>
        </w:rPr>
        <w:t xml:space="preserve"> </w:t>
      </w:r>
      <w:r>
        <w:rPr>
          <w:color w:val="0D0D0D"/>
          <w:sz w:val="20"/>
        </w:rPr>
        <w:t xml:space="preserve">May cause irritation. </w:t>
      </w:r>
      <w:r>
        <w:rPr>
          <w:b/>
          <w:color w:val="0D0D0D"/>
          <w:sz w:val="20"/>
        </w:rPr>
        <w:t xml:space="preserve">Eye Contact: </w:t>
      </w:r>
      <w:r>
        <w:rPr>
          <w:color w:val="0D0D0D"/>
          <w:sz w:val="20"/>
        </w:rPr>
        <w:t xml:space="preserve">May be irritating to eyes. </w:t>
      </w:r>
      <w:r>
        <w:rPr>
          <w:b/>
          <w:color w:val="0D0D0D"/>
          <w:sz w:val="20"/>
        </w:rPr>
        <w:t xml:space="preserve">Inhalation: </w:t>
      </w:r>
      <w:r>
        <w:rPr>
          <w:color w:val="0D0D0D"/>
          <w:sz w:val="20"/>
        </w:rPr>
        <w:t>None</w:t>
      </w:r>
    </w:p>
    <w:p w:rsidR="0089339C" w:rsidRDefault="00BE473C">
      <w:pPr>
        <w:ind w:left="100"/>
        <w:rPr>
          <w:sz w:val="20"/>
        </w:rPr>
      </w:pPr>
      <w:r>
        <w:rPr>
          <w:b/>
          <w:color w:val="0D0D0D"/>
          <w:sz w:val="20"/>
        </w:rPr>
        <w:t xml:space="preserve">Effects of Overexposure: </w:t>
      </w:r>
      <w:r>
        <w:rPr>
          <w:color w:val="0D0D0D"/>
          <w:sz w:val="20"/>
        </w:rPr>
        <w:t>Acute signs and symptoms as listed.</w:t>
      </w:r>
    </w:p>
    <w:p w:rsidR="0089339C" w:rsidRDefault="0089339C">
      <w:pPr>
        <w:pStyle w:val="BodyText"/>
        <w:rPr>
          <w:sz w:val="22"/>
        </w:rPr>
      </w:pPr>
    </w:p>
    <w:p w:rsidR="0089339C" w:rsidRDefault="0089339C">
      <w:pPr>
        <w:pStyle w:val="BodyText"/>
        <w:spacing w:before="8"/>
        <w:rPr>
          <w:sz w:val="19"/>
        </w:rPr>
      </w:pPr>
    </w:p>
    <w:p w:rsidR="0089339C" w:rsidRDefault="00BE473C">
      <w:pPr>
        <w:pStyle w:val="Heading1"/>
        <w:ind w:left="2471"/>
        <w:rPr>
          <w:u w:val="none"/>
        </w:rPr>
      </w:pPr>
      <w:r>
        <w:rPr>
          <w:color w:val="0D0D0D"/>
          <w:u w:val="thick" w:color="0D0D0D"/>
        </w:rPr>
        <w:t>SECTION 12 – Ecological Information</w:t>
      </w:r>
    </w:p>
    <w:p w:rsidR="0089339C" w:rsidRDefault="00BE473C">
      <w:pPr>
        <w:pStyle w:val="BodyText"/>
        <w:spacing w:before="203"/>
        <w:ind w:left="2467" w:right="2433"/>
        <w:jc w:val="center"/>
      </w:pPr>
      <w:r>
        <w:rPr>
          <w:color w:val="0D0D0D"/>
        </w:rPr>
        <w:t>Non Mandatory – Regulated by Other Government Agency.</w:t>
      </w:r>
    </w:p>
    <w:p w:rsidR="0089339C" w:rsidRDefault="0089339C">
      <w:pPr>
        <w:pStyle w:val="BodyText"/>
        <w:spacing w:before="4"/>
        <w:rPr>
          <w:sz w:val="17"/>
        </w:rPr>
      </w:pPr>
    </w:p>
    <w:p w:rsidR="0089339C" w:rsidRDefault="00BE473C">
      <w:pPr>
        <w:pStyle w:val="BodyText"/>
        <w:ind w:left="2468" w:right="2433"/>
        <w:jc w:val="center"/>
      </w:pPr>
      <w:r>
        <w:rPr>
          <w:color w:val="0D0D0D"/>
        </w:rPr>
        <w:t>Investigate Local, State and Federal Regulations.</w:t>
      </w:r>
    </w:p>
    <w:p w:rsidR="0089339C" w:rsidRDefault="0089339C">
      <w:pPr>
        <w:pStyle w:val="BodyText"/>
        <w:spacing w:before="2"/>
        <w:rPr>
          <w:sz w:val="17"/>
        </w:rPr>
      </w:pPr>
    </w:p>
    <w:p w:rsidR="0089339C" w:rsidRDefault="00BE473C">
      <w:pPr>
        <w:pStyle w:val="Heading1"/>
        <w:ind w:right="2431"/>
        <w:rPr>
          <w:u w:val="none"/>
        </w:rPr>
      </w:pPr>
      <w:r>
        <w:rPr>
          <w:color w:val="0D0D0D"/>
          <w:u w:val="thick" w:color="0D0D0D"/>
        </w:rPr>
        <w:t>SECTION 13 – Disposal Considerations</w:t>
      </w:r>
    </w:p>
    <w:p w:rsidR="0089339C" w:rsidRDefault="00BE473C">
      <w:pPr>
        <w:pStyle w:val="BodyText"/>
        <w:spacing w:before="200"/>
        <w:ind w:left="2467" w:right="2433"/>
        <w:jc w:val="center"/>
      </w:pPr>
      <w:r>
        <w:rPr>
          <w:color w:val="0D0D0D"/>
        </w:rPr>
        <w:t>Non Mandatory – Regulated by Other Government Agency.</w:t>
      </w:r>
    </w:p>
    <w:p w:rsidR="0089339C" w:rsidRDefault="0089339C">
      <w:pPr>
        <w:pStyle w:val="BodyText"/>
        <w:spacing w:before="4"/>
        <w:rPr>
          <w:sz w:val="17"/>
        </w:rPr>
      </w:pPr>
    </w:p>
    <w:p w:rsidR="0089339C" w:rsidRDefault="00BE473C">
      <w:pPr>
        <w:pStyle w:val="BodyText"/>
        <w:ind w:left="2465" w:right="2433"/>
        <w:jc w:val="center"/>
      </w:pPr>
      <w:r>
        <w:rPr>
          <w:color w:val="0D0D0D"/>
        </w:rPr>
        <w:t>Investigate Local, State and Federal Regulations.</w:t>
      </w:r>
    </w:p>
    <w:p w:rsidR="0089339C" w:rsidRDefault="0089339C">
      <w:pPr>
        <w:pStyle w:val="BodyText"/>
        <w:rPr>
          <w:sz w:val="22"/>
        </w:rPr>
      </w:pPr>
    </w:p>
    <w:p w:rsidR="0089339C" w:rsidRDefault="0089339C">
      <w:pPr>
        <w:pStyle w:val="BodyText"/>
        <w:spacing w:before="9"/>
        <w:rPr>
          <w:sz w:val="32"/>
        </w:rPr>
      </w:pPr>
    </w:p>
    <w:p w:rsidR="0089339C" w:rsidRDefault="00BE473C">
      <w:pPr>
        <w:pStyle w:val="Heading1"/>
        <w:ind w:right="2431"/>
        <w:rPr>
          <w:u w:val="none"/>
        </w:rPr>
      </w:pPr>
      <w:r>
        <w:rPr>
          <w:color w:val="0D0D0D"/>
          <w:u w:val="thick" w:color="0D0D0D"/>
        </w:rPr>
        <w:t>SECTION 14 – Transportation Information</w:t>
      </w:r>
    </w:p>
    <w:p w:rsidR="0089339C" w:rsidRDefault="00BE473C">
      <w:pPr>
        <w:pStyle w:val="BodyText"/>
        <w:spacing w:before="200"/>
        <w:ind w:left="2467" w:right="2433"/>
        <w:jc w:val="center"/>
      </w:pPr>
      <w:r>
        <w:rPr>
          <w:color w:val="0D0D0D"/>
        </w:rPr>
        <w:t>Non Mandatory – Regul</w:t>
      </w:r>
      <w:r>
        <w:rPr>
          <w:color w:val="0D0D0D"/>
        </w:rPr>
        <w:t>ated by Other Government Agency.</w:t>
      </w:r>
    </w:p>
    <w:p w:rsidR="0089339C" w:rsidRDefault="0089339C">
      <w:pPr>
        <w:pStyle w:val="BodyText"/>
        <w:spacing w:before="3"/>
        <w:rPr>
          <w:sz w:val="17"/>
        </w:rPr>
      </w:pPr>
    </w:p>
    <w:p w:rsidR="0089339C" w:rsidRDefault="00BE473C">
      <w:pPr>
        <w:pStyle w:val="BodyText"/>
        <w:spacing w:before="1"/>
        <w:ind w:left="2465" w:right="2433"/>
        <w:jc w:val="center"/>
      </w:pPr>
      <w:r>
        <w:rPr>
          <w:color w:val="0D0D0D"/>
        </w:rPr>
        <w:t>Investigate Local, State and Federal Regulations.</w:t>
      </w:r>
    </w:p>
    <w:p w:rsidR="0089339C" w:rsidRDefault="0089339C">
      <w:pPr>
        <w:pStyle w:val="BodyText"/>
        <w:rPr>
          <w:sz w:val="22"/>
        </w:rPr>
      </w:pPr>
    </w:p>
    <w:p w:rsidR="0089339C" w:rsidRDefault="0089339C">
      <w:pPr>
        <w:pStyle w:val="BodyText"/>
        <w:spacing w:before="6"/>
        <w:rPr>
          <w:sz w:val="32"/>
        </w:rPr>
      </w:pPr>
    </w:p>
    <w:p w:rsidR="0089339C" w:rsidRDefault="00BE473C">
      <w:pPr>
        <w:pStyle w:val="Heading1"/>
        <w:spacing w:before="1"/>
        <w:ind w:left="2471"/>
        <w:rPr>
          <w:u w:val="none"/>
        </w:rPr>
      </w:pPr>
      <w:r>
        <w:rPr>
          <w:color w:val="0D0D0D"/>
          <w:u w:val="thick" w:color="0D0D0D"/>
        </w:rPr>
        <w:t>SECTION 15 – Regulatory Information</w:t>
      </w:r>
    </w:p>
    <w:p w:rsidR="0089339C" w:rsidRDefault="00BE473C">
      <w:pPr>
        <w:pStyle w:val="BodyText"/>
        <w:spacing w:before="203"/>
        <w:ind w:left="2467" w:right="2433"/>
        <w:jc w:val="center"/>
      </w:pPr>
      <w:r>
        <w:rPr>
          <w:color w:val="0D0D0D"/>
        </w:rPr>
        <w:t>Non Mandatory – Regulated by Other Government Agency.</w:t>
      </w:r>
    </w:p>
    <w:p w:rsidR="0089339C" w:rsidRDefault="0089339C">
      <w:pPr>
        <w:pStyle w:val="BodyText"/>
        <w:spacing w:before="3"/>
        <w:rPr>
          <w:sz w:val="17"/>
        </w:rPr>
      </w:pPr>
    </w:p>
    <w:p w:rsidR="0089339C" w:rsidRDefault="00BE473C">
      <w:pPr>
        <w:pStyle w:val="BodyText"/>
        <w:ind w:left="2465" w:right="2433"/>
        <w:jc w:val="center"/>
      </w:pPr>
      <w:r>
        <w:rPr>
          <w:color w:val="0D0D0D"/>
        </w:rPr>
        <w:t>Investigate Local, State and Federal Regulations.</w:t>
      </w:r>
    </w:p>
    <w:p w:rsidR="0089339C" w:rsidRDefault="0089339C">
      <w:pPr>
        <w:pStyle w:val="BodyText"/>
        <w:rPr>
          <w:sz w:val="22"/>
        </w:rPr>
      </w:pPr>
    </w:p>
    <w:p w:rsidR="0089339C" w:rsidRDefault="0089339C">
      <w:pPr>
        <w:pStyle w:val="BodyText"/>
        <w:spacing w:before="6"/>
        <w:rPr>
          <w:sz w:val="32"/>
        </w:rPr>
      </w:pPr>
    </w:p>
    <w:p w:rsidR="0089339C" w:rsidRDefault="00BE473C">
      <w:pPr>
        <w:pStyle w:val="Heading1"/>
        <w:rPr>
          <w:u w:val="none"/>
        </w:rPr>
      </w:pPr>
      <w:r>
        <w:rPr>
          <w:color w:val="0D0D0D"/>
          <w:u w:val="thick" w:color="0D0D0D"/>
        </w:rPr>
        <w:t>SECTION 16 – Other Information</w:t>
      </w:r>
    </w:p>
    <w:p w:rsidR="0089339C" w:rsidRDefault="00BE473C">
      <w:pPr>
        <w:pStyle w:val="BodyText"/>
        <w:spacing w:before="202"/>
        <w:ind w:left="2472" w:right="2433"/>
        <w:jc w:val="center"/>
      </w:pPr>
      <w:r>
        <w:rPr>
          <w:color w:val="0D0D0D"/>
        </w:rPr>
        <w:t>SNI Solutions – SDS Document review and approval date: 07-03-14</w:t>
      </w:r>
    </w:p>
    <w:p w:rsidR="0089339C" w:rsidRDefault="0089339C">
      <w:pPr>
        <w:pStyle w:val="BodyText"/>
        <w:rPr>
          <w:sz w:val="22"/>
        </w:rPr>
      </w:pPr>
    </w:p>
    <w:p w:rsidR="0089339C" w:rsidRDefault="0089339C">
      <w:pPr>
        <w:pStyle w:val="BodyText"/>
        <w:rPr>
          <w:sz w:val="22"/>
        </w:rPr>
      </w:pPr>
    </w:p>
    <w:p w:rsidR="0089339C" w:rsidRDefault="00BE473C">
      <w:pPr>
        <w:pStyle w:val="BodyText"/>
        <w:spacing w:before="166" w:line="242" w:lineRule="auto"/>
        <w:ind w:left="100" w:right="34"/>
      </w:pPr>
      <w:r>
        <w:rPr>
          <w:color w:val="0D0D0D"/>
        </w:rPr>
        <w:t>The information contained herein is furnished without warranty of any kind. Employees should use this information only as a supplement to other information gat</w:t>
      </w:r>
      <w:r>
        <w:rPr>
          <w:color w:val="0D0D0D"/>
        </w:rPr>
        <w:t>hered by them and must make independent determinations of suitability and completeness of information from all sources to assure proper use of these materials and the safety and health of employees.</w:t>
      </w:r>
    </w:p>
    <w:sectPr w:rsidR="0089339C">
      <w:pgSz w:w="12240" w:h="15840"/>
      <w:pgMar w:top="1500" w:right="660" w:bottom="940" w:left="620" w:header="0" w:footer="7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E473C">
      <w:r>
        <w:separator/>
      </w:r>
    </w:p>
  </w:endnote>
  <w:endnote w:type="continuationSeparator" w:id="0">
    <w:p w:rsidR="00000000" w:rsidRDefault="00BE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39C" w:rsidRDefault="00BE473C">
    <w:pPr>
      <w:pStyle w:val="BodyText"/>
      <w:spacing w:line="14" w:lineRule="auto"/>
    </w:pPr>
    <w:r>
      <w:rPr>
        <w:noProof/>
      </w:rPr>
      <mc:AlternateContent>
        <mc:Choice Requires="wps">
          <w:drawing>
            <wp:anchor distT="0" distB="0" distL="114300" distR="114300" simplePos="0" relativeHeight="251657728" behindDoc="1" locked="0" layoutInCell="1" allowOverlap="1">
              <wp:simplePos x="0" y="0"/>
              <wp:positionH relativeFrom="page">
                <wp:posOffset>444500</wp:posOffset>
              </wp:positionH>
              <wp:positionV relativeFrom="page">
                <wp:posOffset>9444990</wp:posOffset>
              </wp:positionV>
              <wp:extent cx="1333500" cy="165735"/>
              <wp:effectExtent l="0" t="0" r="317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39C" w:rsidRDefault="00BE473C">
                          <w:pPr>
                            <w:spacing w:line="245" w:lineRule="exact"/>
                            <w:ind w:left="20"/>
                            <w:rPr>
                              <w:rFonts w:ascii="Calibri"/>
                            </w:rPr>
                          </w:pPr>
                          <w:r>
                            <w:rPr>
                              <w:rFonts w:ascii="Calibri"/>
                            </w:rPr>
                            <w:t>SDSGeomeltS7-070314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pt;margin-top:743.7pt;width:10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" filled="f" stroked="f">
              <v:textbox inset="0,0,0,0">
                <w:txbxContent>
                  <w:p w:rsidR="0089339C" w:rsidRDefault="00BE473C">
                    <w:pPr>
                      <w:spacing w:line="245" w:lineRule="exact"/>
                      <w:ind w:left="20"/>
                      <w:rPr>
                        <w:rFonts w:ascii="Calibri"/>
                      </w:rPr>
                    </w:pPr>
                    <w:r>
                      <w:rPr>
                        <w:rFonts w:ascii="Calibri"/>
                      </w:rPr>
                      <w:t>SDSGeomeltS7-070314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E473C">
      <w:r>
        <w:separator/>
      </w:r>
    </w:p>
  </w:footnote>
  <w:footnote w:type="continuationSeparator" w:id="0">
    <w:p w:rsidR="00000000" w:rsidRDefault="00BE47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39C"/>
    <w:rsid w:val="0089339C"/>
    <w:rsid w:val="00BE4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0F26678-7066-4847-9EF4-B934D504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472" w:right="2433"/>
      <w:jc w:val="center"/>
      <w:outlineLvl w:val="0"/>
    </w:pPr>
    <w:rPr>
      <w:b/>
      <w:bCs/>
      <w:sz w:val="24"/>
      <w:szCs w:val="24"/>
      <w:u w:val="single" w:color="000000"/>
    </w:rPr>
  </w:style>
  <w:style w:type="paragraph" w:styleId="Heading2">
    <w:name w:val="heading 2"/>
    <w:basedOn w:val="Normal"/>
    <w:uiPriority w:val="1"/>
    <w:qFormat/>
    <w:pPr>
      <w:ind w:left="2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10" w:lineRule="exact"/>
      <w:ind w:left="102"/>
    </w:pPr>
  </w:style>
  <w:style w:type="character" w:styleId="Hyperlink">
    <w:name w:val="Hyperlink"/>
    <w:basedOn w:val="DefaultParagraphFont"/>
    <w:uiPriority w:val="99"/>
    <w:unhideWhenUsed/>
    <w:rsid w:val="00BE47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Robert Freeman</dc:creator>
  <cp:lastModifiedBy>Heather Miner</cp:lastModifiedBy>
  <cp:revision>2</cp:revision>
  <dcterms:created xsi:type="dcterms:W3CDTF">2017-08-10T19:28:00Z</dcterms:created>
  <dcterms:modified xsi:type="dcterms:W3CDTF">2017-08-10T19:28:00Z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2014-07-07T00:00:00Z</vt:filetime>
  </property>
  <property fmtid="{D5CDD505-2E9C-101B-9397-08002B2CF9AE}" pid="3" name="Creator">
    <vt:lpwstr>Microsoft® Office Word 2007</vt:lpwstr>
  </property>
  <property fmtid="{D5CDD505-2E9C-101B-9397-08002B2CF9AE}" pid="4" name="LastSaved">
    <vt:filetime>2017-08-09T00:00:00Z</vt:filetime>
  </property>
</Properties>
</file>